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B8B" w:rsidRDefault="00E26B8B" w:rsidP="00E26B8B">
      <w:pPr>
        <w:pStyle w:val="a"/>
        <w:numPr>
          <w:ilvl w:val="0"/>
          <w:numId w:val="5"/>
        </w:numPr>
        <w:spacing w:beforeLines="50" w:before="180"/>
        <w:ind w:left="640" w:hanging="640"/>
        <w:rPr>
          <w:rFonts w:cs="Times New Roman"/>
        </w:rPr>
      </w:pPr>
      <w:bookmarkStart w:id="0" w:name="_Hlk231867195"/>
      <w:r>
        <w:rPr>
          <w:rFonts w:cs="Times New Roman" w:hint="eastAsia"/>
        </w:rPr>
        <w:t>區域計畫法第</w:t>
      </w:r>
      <w:r>
        <w:rPr>
          <w:rFonts w:cs="Times New Roman"/>
        </w:rPr>
        <w:t>21</w:t>
      </w:r>
      <w:r>
        <w:rPr>
          <w:rFonts w:cs="Times New Roman" w:hint="eastAsia"/>
        </w:rPr>
        <w:t>條第</w:t>
      </w:r>
      <w:r>
        <w:rPr>
          <w:rFonts w:cs="Times New Roman"/>
        </w:rPr>
        <w:t>1</w:t>
      </w:r>
      <w:r>
        <w:rPr>
          <w:rFonts w:cs="Times New Roman" w:hint="eastAsia"/>
        </w:rPr>
        <w:t>項規定，違反該法第</w:t>
      </w:r>
      <w:r>
        <w:rPr>
          <w:rFonts w:cs="Times New Roman"/>
        </w:rPr>
        <w:t>15</w:t>
      </w:r>
      <w:r>
        <w:rPr>
          <w:rFonts w:cs="Times New Roman" w:hint="eastAsia"/>
        </w:rPr>
        <w:t>條第</w:t>
      </w:r>
      <w:r>
        <w:rPr>
          <w:rFonts w:cs="Times New Roman"/>
        </w:rPr>
        <w:t>1</w:t>
      </w:r>
      <w:r>
        <w:rPr>
          <w:rFonts w:cs="Times New Roman" w:hint="eastAsia"/>
        </w:rPr>
        <w:t>項之管制使用土地者，由該管直轄市、縣（市）政府處新臺幣</w:t>
      </w:r>
      <w:r>
        <w:rPr>
          <w:rFonts w:cs="Times New Roman"/>
        </w:rPr>
        <w:t>6</w:t>
      </w:r>
      <w:r>
        <w:rPr>
          <w:rFonts w:cs="Times New Roman" w:hint="eastAsia"/>
        </w:rPr>
        <w:t>萬元以上</w:t>
      </w:r>
      <w:r>
        <w:rPr>
          <w:rFonts w:cs="Times New Roman"/>
        </w:rPr>
        <w:t>30</w:t>
      </w:r>
      <w:r>
        <w:rPr>
          <w:rFonts w:cs="Times New Roman" w:hint="eastAsia"/>
        </w:rPr>
        <w:t>萬元以下罰鍰，並得限期令其變更使用、停止使用或拆除其地上物恢復原狀。該條第</w:t>
      </w:r>
      <w:r>
        <w:rPr>
          <w:rFonts w:cs="Times New Roman"/>
        </w:rPr>
        <w:t>2</w:t>
      </w:r>
      <w:r>
        <w:rPr>
          <w:rFonts w:cs="Times New Roman" w:hint="eastAsia"/>
        </w:rPr>
        <w:t>項規定，前項情形經限期變更使用、停止使用或拆除地上物恢復原狀而不遵從者，得按次處罰，並停止供水、供電、封閉、強制拆除或採取其他恢復原狀之措施。請問：</w:t>
      </w:r>
    </w:p>
    <w:p w:rsidR="00E26B8B" w:rsidRDefault="00E26B8B" w:rsidP="00E26B8B">
      <w:pPr>
        <w:pStyle w:val="a4"/>
        <w:rPr>
          <w:rFonts w:cs="Times New Roman"/>
        </w:rPr>
      </w:pPr>
      <w:r>
        <w:rPr>
          <w:rFonts w:cs="Times New Roman" w:hint="eastAsia"/>
        </w:rPr>
        <w:t>其中「罰鍰」、「限期令其變更使用、停止使用或拆除其地上物恢復原狀」及「停止供水、供電、封閉、強制拆除或採取其他恢復原狀之措施」三者法律性質為何？（</w:t>
      </w:r>
      <w:r>
        <w:rPr>
          <w:rFonts w:cs="Times New Roman"/>
        </w:rPr>
        <w:t>15</w:t>
      </w:r>
      <w:r>
        <w:rPr>
          <w:rFonts w:cs="Times New Roman" w:hint="eastAsia"/>
        </w:rPr>
        <w:t>分）</w:t>
      </w:r>
    </w:p>
    <w:p w:rsidR="00E26B8B" w:rsidRDefault="00E26B8B" w:rsidP="00E26B8B">
      <w:pPr>
        <w:pStyle w:val="a4"/>
        <w:rPr>
          <w:rFonts w:cs="Times New Roman"/>
        </w:rPr>
      </w:pPr>
      <w:r>
        <w:rPr>
          <w:rFonts w:cs="Times New Roman" w:hint="eastAsia"/>
        </w:rPr>
        <w:t>甲自</w:t>
      </w:r>
      <w:r>
        <w:rPr>
          <w:rFonts w:cs="Times New Roman"/>
        </w:rPr>
        <w:t>105</w:t>
      </w:r>
      <w:r>
        <w:rPr>
          <w:rFonts w:cs="Times New Roman" w:hint="eastAsia"/>
        </w:rPr>
        <w:t>年購入一筆土地，即違反本條規定，惟直到</w:t>
      </w:r>
      <w:r>
        <w:rPr>
          <w:rFonts w:cs="Times New Roman"/>
        </w:rPr>
        <w:t>114</w:t>
      </w:r>
      <w:r>
        <w:rPr>
          <w:rFonts w:cs="Times New Roman" w:hint="eastAsia"/>
        </w:rPr>
        <w:t>年經檢舉始由主管機關予以裁罰新臺幣</w:t>
      </w:r>
      <w:r>
        <w:rPr>
          <w:rFonts w:cs="Times New Roman"/>
        </w:rPr>
        <w:t>6</w:t>
      </w:r>
      <w:r>
        <w:rPr>
          <w:rFonts w:cs="Times New Roman" w:hint="eastAsia"/>
        </w:rPr>
        <w:t>萬元，並命其停止使用並拆除其地上物恢復原狀。甲抗辯主管機關之前揭處分已逾行政罰之裁處權時效，甲之抗辯有無理由？（</w:t>
      </w:r>
      <w:r>
        <w:rPr>
          <w:rFonts w:cs="Times New Roman"/>
        </w:rPr>
        <w:t>15</w:t>
      </w:r>
      <w:r>
        <w:rPr>
          <w:rFonts w:cs="Times New Roman" w:hint="eastAsia"/>
        </w:rPr>
        <w:t>分）</w:t>
      </w:r>
    </w:p>
    <w:p w:rsidR="00E26B8B" w:rsidRDefault="00E26B8B" w:rsidP="00E26B8B">
      <w:pPr>
        <w:pStyle w:val="a4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參考法條：</w:t>
      </w:r>
    </w:p>
    <w:p w:rsidR="00E26B8B" w:rsidRDefault="00E26B8B" w:rsidP="00E26B8B">
      <w:pPr>
        <w:pStyle w:val="a4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行政罰法第</w:t>
      </w:r>
      <w:r>
        <w:rPr>
          <w:rFonts w:cs="Times New Roman"/>
          <w:sz w:val="28"/>
          <w:szCs w:val="28"/>
        </w:rPr>
        <w:t>27</w:t>
      </w:r>
      <w:r>
        <w:rPr>
          <w:rFonts w:cs="Times New Roman" w:hint="eastAsia"/>
          <w:sz w:val="28"/>
          <w:szCs w:val="28"/>
        </w:rPr>
        <w:t>條第</w:t>
      </w:r>
      <w:r>
        <w:rPr>
          <w:rFonts w:cs="Times New Roman"/>
          <w:sz w:val="28"/>
          <w:szCs w:val="28"/>
        </w:rPr>
        <w:t>1</w:t>
      </w:r>
      <w:r>
        <w:rPr>
          <w:rFonts w:cs="Times New Roman" w:hint="eastAsia"/>
          <w:sz w:val="28"/>
          <w:szCs w:val="28"/>
        </w:rPr>
        <w:t>項：行政罰之裁處權，因三年期間之經過而消滅。</w:t>
      </w:r>
    </w:p>
    <w:p w:rsidR="00E26B8B" w:rsidRDefault="00E26B8B" w:rsidP="00E26B8B">
      <w:pPr>
        <w:pStyle w:val="a4"/>
        <w:ind w:left="635" w:firstLine="0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行政罰法第</w:t>
      </w:r>
      <w:r>
        <w:rPr>
          <w:rFonts w:cs="Times New Roman"/>
          <w:sz w:val="28"/>
          <w:szCs w:val="28"/>
        </w:rPr>
        <w:t>27</w:t>
      </w:r>
      <w:r>
        <w:rPr>
          <w:rFonts w:cs="Times New Roman" w:hint="eastAsia"/>
          <w:sz w:val="28"/>
          <w:szCs w:val="28"/>
        </w:rPr>
        <w:t>條第</w:t>
      </w:r>
      <w:r>
        <w:rPr>
          <w:rFonts w:cs="Times New Roman"/>
          <w:sz w:val="28"/>
          <w:szCs w:val="28"/>
        </w:rPr>
        <w:t>2</w:t>
      </w:r>
      <w:r>
        <w:rPr>
          <w:rFonts w:cs="Times New Roman" w:hint="eastAsia"/>
          <w:sz w:val="28"/>
          <w:szCs w:val="28"/>
        </w:rPr>
        <w:t>項：前項期間，自違反行政法上義務之行為終了時起算。但行為之結果發生在後者，自該結果發生時起算。</w:t>
      </w:r>
    </w:p>
    <w:p w:rsidR="00FF49C4" w:rsidRPr="00E26B8B" w:rsidRDefault="00FF49C4" w:rsidP="00E26B8B">
      <w:pPr>
        <w:pStyle w:val="a"/>
        <w:spacing w:before="360"/>
        <w:ind w:left="656" w:hanging="656"/>
        <w:rPr>
          <w:rFonts w:cs="Times New Roman"/>
          <w:spacing w:val="4"/>
        </w:rPr>
      </w:pPr>
      <w:r w:rsidRPr="00E26B8B">
        <w:rPr>
          <w:rFonts w:cs="Times New Roman" w:hint="eastAsia"/>
          <w:spacing w:val="4"/>
        </w:rPr>
        <w:t>兒童服務可大致分為四種類型，包括</w:t>
      </w:r>
      <w:r w:rsidR="000B00B0" w:rsidRPr="00E26B8B">
        <w:rPr>
          <w:rFonts w:ascii="新細明體" w:eastAsia="新細明體" w:hAnsi="新細明體" w:cs="新細明體" w:hint="eastAsia"/>
          <w:spacing w:val="4"/>
        </w:rPr>
        <w:t>⑴</w:t>
      </w:r>
      <w:r w:rsidRPr="00E26B8B">
        <w:rPr>
          <w:rFonts w:cs="Times New Roman" w:hint="eastAsia"/>
          <w:spacing w:val="4"/>
        </w:rPr>
        <w:t>支持性服務；</w:t>
      </w:r>
      <w:r w:rsidR="000B00B0" w:rsidRPr="00E26B8B">
        <w:rPr>
          <w:rFonts w:ascii="新細明體" w:eastAsia="新細明體" w:hAnsi="新細明體" w:cs="新細明體" w:hint="eastAsia"/>
          <w:spacing w:val="4"/>
        </w:rPr>
        <w:t>⑵</w:t>
      </w:r>
      <w:r w:rsidRPr="00E26B8B">
        <w:rPr>
          <w:rFonts w:cs="Times New Roman" w:hint="eastAsia"/>
          <w:spacing w:val="4"/>
        </w:rPr>
        <w:t>補充性服務</w:t>
      </w:r>
      <w:r w:rsidR="00E26B8B" w:rsidRPr="00E26B8B">
        <w:rPr>
          <w:rFonts w:cs="Times New Roman" w:hint="eastAsia"/>
          <w:spacing w:val="4"/>
        </w:rPr>
        <w:t>；</w:t>
      </w:r>
      <w:r w:rsidR="000B00B0" w:rsidRPr="00E26B8B">
        <w:rPr>
          <w:rFonts w:ascii="新細明體" w:eastAsia="新細明體" w:hAnsi="新細明體" w:cs="新細明體" w:hint="eastAsia"/>
          <w:spacing w:val="4"/>
        </w:rPr>
        <w:t>⑶</w:t>
      </w:r>
      <w:r w:rsidRPr="00E26B8B">
        <w:rPr>
          <w:rFonts w:cs="Times New Roman" w:hint="eastAsia"/>
          <w:spacing w:val="4"/>
        </w:rPr>
        <w:t>替代性服務；</w:t>
      </w:r>
      <w:r w:rsidR="000B00B0" w:rsidRPr="00E26B8B">
        <w:rPr>
          <w:rFonts w:ascii="新細明體" w:eastAsia="新細明體" w:hAnsi="新細明體" w:cs="新細明體" w:hint="eastAsia"/>
          <w:spacing w:val="4"/>
        </w:rPr>
        <w:t>⑷</w:t>
      </w:r>
      <w:r w:rsidRPr="00E26B8B">
        <w:rPr>
          <w:rFonts w:cs="Times New Roman" w:hint="eastAsia"/>
          <w:spacing w:val="4"/>
        </w:rPr>
        <w:t>保護性服務</w:t>
      </w:r>
      <w:bookmarkEnd w:id="0"/>
      <w:r w:rsidRPr="00E26B8B">
        <w:rPr>
          <w:rFonts w:cs="Times New Roman" w:hint="eastAsia"/>
          <w:spacing w:val="4"/>
        </w:rPr>
        <w:t>，請分別說明這四種服務類型的內涵，以及在何種情況下適用該類型服務。（</w:t>
      </w:r>
      <w:r w:rsidRPr="00E26B8B">
        <w:rPr>
          <w:rFonts w:cs="Times New Roman"/>
          <w:spacing w:val="4"/>
        </w:rPr>
        <w:t>20</w:t>
      </w:r>
      <w:r w:rsidRPr="00E26B8B">
        <w:rPr>
          <w:rFonts w:cs="Times New Roman" w:hint="eastAsia"/>
          <w:spacing w:val="4"/>
        </w:rPr>
        <w:t>分）</w:t>
      </w:r>
    </w:p>
    <w:p w:rsidR="00FF49C4" w:rsidRDefault="00FF49C4" w:rsidP="007B36F9">
      <w:pPr>
        <w:pStyle w:val="a"/>
        <w:spacing w:before="360"/>
        <w:ind w:left="640" w:hanging="640"/>
        <w:rPr>
          <w:rFonts w:cs="Times New Roman"/>
        </w:rPr>
      </w:pPr>
      <w:r w:rsidRPr="000B00B0">
        <w:rPr>
          <w:rFonts w:cs="Times New Roman" w:hint="eastAsia"/>
        </w:rPr>
        <w:t>我國自</w:t>
      </w:r>
      <w:r w:rsidRPr="000B00B0">
        <w:rPr>
          <w:rFonts w:cs="Times New Roman"/>
        </w:rPr>
        <w:t>114</w:t>
      </w:r>
      <w:r w:rsidRPr="000B00B0">
        <w:rPr>
          <w:rFonts w:cs="Times New Roman" w:hint="eastAsia"/>
        </w:rPr>
        <w:t>年年底已邁入超高齡社會，請分別從活躍老化、成功老化、生產力老化，三個角度探討其核心意義與涵蓋面向。（</w:t>
      </w:r>
      <w:r w:rsidR="007B36F9">
        <w:rPr>
          <w:rFonts w:cs="Times New Roman"/>
        </w:rPr>
        <w:t>15</w:t>
      </w:r>
      <w:r w:rsidRPr="000B00B0">
        <w:rPr>
          <w:rFonts w:cs="Times New Roman" w:hint="eastAsia"/>
        </w:rPr>
        <w:t>分）</w:t>
      </w:r>
    </w:p>
    <w:p w:rsidR="00E26B8B" w:rsidRDefault="00E26B8B" w:rsidP="00E26B8B">
      <w:pPr>
        <w:pStyle w:val="a"/>
        <w:spacing w:before="360"/>
        <w:ind w:left="640" w:hanging="640"/>
        <w:rPr>
          <w:rFonts w:cs="Times New Roman"/>
        </w:rPr>
      </w:pPr>
      <w:r w:rsidRPr="000B00B0">
        <w:rPr>
          <w:rFonts w:cs="Times New Roman"/>
        </w:rPr>
        <w:t>「值得和不值得」救助的區別，以及「排除和包容」的區別，在</w:t>
      </w:r>
      <w:r w:rsidRPr="000B00B0">
        <w:rPr>
          <w:rFonts w:cs="Times New Roman"/>
        </w:rPr>
        <w:t>21</w:t>
      </w:r>
      <w:r w:rsidRPr="000B00B0">
        <w:rPr>
          <w:rFonts w:cs="Times New Roman"/>
        </w:rPr>
        <w:t>世紀福利國家轉型中，扮演著重要的觀念改變角色。請申論這一改變的結果和意義。（</w:t>
      </w:r>
      <w:r w:rsidRPr="000B00B0">
        <w:rPr>
          <w:rFonts w:cs="Times New Roman"/>
        </w:rPr>
        <w:t>10</w:t>
      </w:r>
      <w:r w:rsidRPr="000B00B0">
        <w:rPr>
          <w:rFonts w:cs="Times New Roman"/>
        </w:rPr>
        <w:t>分）</w:t>
      </w:r>
    </w:p>
    <w:p w:rsidR="00E26B8B" w:rsidRDefault="00E26B8B">
      <w:pPr>
        <w:widowControl/>
        <w:overflowPunct/>
        <w:autoSpaceDE/>
        <w:autoSpaceDN/>
        <w:jc w:val="left"/>
        <w:rPr>
          <w:rFonts w:ascii="Times New Roman" w:eastAsia="標楷體" w:hAnsi="Times New Roman" w:cs="Times New Roman"/>
          <w:sz w:val="32"/>
        </w:rPr>
      </w:pPr>
      <w:r>
        <w:rPr>
          <w:rFonts w:cs="Times New Roman"/>
        </w:rPr>
        <w:br w:type="page"/>
      </w:r>
    </w:p>
    <w:p w:rsidR="00E26B8B" w:rsidRDefault="00E26B8B" w:rsidP="00E26B8B">
      <w:pPr>
        <w:pStyle w:val="a"/>
        <w:spacing w:before="360"/>
        <w:ind w:left="640" w:hanging="640"/>
      </w:pPr>
      <w:r w:rsidRPr="00E26B8B">
        <w:lastRenderedPageBreak/>
        <w:t>21</w:t>
      </w:r>
      <w:r w:rsidRPr="00E26B8B">
        <w:t>世紀的福利服務正逐步地朝向所謂「個人化」（</w:t>
      </w:r>
      <w:r w:rsidRPr="00E26B8B">
        <w:t>Personalization</w:t>
      </w:r>
      <w:r w:rsidRPr="00E26B8B">
        <w:t>）原則的方向發展。請論述</w:t>
      </w:r>
      <w:r>
        <w:rPr>
          <w:rFonts w:hint="eastAsia"/>
        </w:rPr>
        <w:t>：</w:t>
      </w:r>
    </w:p>
    <w:p w:rsidR="00E26B8B" w:rsidRDefault="00E26B8B" w:rsidP="00E26B8B">
      <w:pPr>
        <w:pStyle w:val="a4"/>
      </w:pPr>
      <w:r>
        <w:rPr>
          <w:rFonts w:hint="eastAsia"/>
        </w:rPr>
        <w:t></w:t>
      </w:r>
      <w:r w:rsidRPr="00E26B8B">
        <w:rPr>
          <w:spacing w:val="4"/>
        </w:rPr>
        <w:t>「個人化」原則的意義，</w:t>
      </w:r>
      <w:r w:rsidRPr="00E26B8B">
        <w:rPr>
          <w:rFonts w:hint="eastAsia"/>
          <w:spacing w:val="4"/>
        </w:rPr>
        <w:t>以</w:t>
      </w:r>
      <w:r w:rsidRPr="00E26B8B">
        <w:rPr>
          <w:spacing w:val="4"/>
        </w:rPr>
        <w:t>及其與傳統福利國家服務模式的差別。</w:t>
      </w:r>
      <w:r w:rsidRPr="00E26B8B">
        <w:rPr>
          <w:rFonts w:hint="eastAsia"/>
          <w:spacing w:val="4"/>
        </w:rPr>
        <w:t>（</w:t>
      </w:r>
      <w:r w:rsidRPr="00E26B8B">
        <w:rPr>
          <w:rFonts w:hint="eastAsia"/>
          <w:spacing w:val="4"/>
        </w:rPr>
        <w:t>10</w:t>
      </w:r>
      <w:r w:rsidRPr="00E26B8B">
        <w:rPr>
          <w:rFonts w:hint="eastAsia"/>
          <w:spacing w:val="4"/>
        </w:rPr>
        <w:t>分）</w:t>
      </w:r>
    </w:p>
    <w:p w:rsidR="00E26B8B" w:rsidRPr="00E26B8B" w:rsidRDefault="00E26B8B" w:rsidP="00E26B8B">
      <w:pPr>
        <w:pStyle w:val="a4"/>
      </w:pPr>
      <w:r>
        <w:rPr>
          <w:rFonts w:hint="eastAsia"/>
        </w:rPr>
        <w:t></w:t>
      </w:r>
      <w:r w:rsidRPr="00E26B8B">
        <w:t>在我國的發展，有長期照顧、身心障礙服務、社會救助與脫貧，和大數據驅動的數位福利國家等四個領域。請選擇二個領域的發展來說明。（</w:t>
      </w:r>
      <w:r>
        <w:t>15</w:t>
      </w:r>
      <w:r w:rsidRPr="00E26B8B">
        <w:t>分）</w:t>
      </w:r>
    </w:p>
    <w:p w:rsidR="00150BF4" w:rsidRPr="000B00B0" w:rsidRDefault="00150BF4" w:rsidP="00FF49C4">
      <w:pPr>
        <w:rPr>
          <w:rFonts w:ascii="Times New Roman" w:eastAsia="標楷體" w:hAnsi="Times New Roman" w:cs="Times New Roman"/>
          <w:sz w:val="32"/>
        </w:rPr>
      </w:pPr>
    </w:p>
    <w:sectPr w:rsidR="00150BF4" w:rsidRPr="000B00B0" w:rsidSect="00562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1BE" w:rsidRDefault="008971BE" w:rsidP="009F7437">
      <w:r>
        <w:separator/>
      </w:r>
    </w:p>
  </w:endnote>
  <w:endnote w:type="continuationSeparator" w:id="0">
    <w:p w:rsidR="008971BE" w:rsidRDefault="008971BE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ucida Sans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878" w:rsidRDefault="00C8187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878" w:rsidRDefault="00C8187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878" w:rsidRDefault="00C8187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1BE" w:rsidRDefault="008971BE" w:rsidP="009F7437">
      <w:r>
        <w:separator/>
      </w:r>
    </w:p>
  </w:footnote>
  <w:footnote w:type="continuationSeparator" w:id="0">
    <w:p w:rsidR="008971BE" w:rsidRDefault="008971BE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246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"/>
      <w:gridCol w:w="643"/>
    </w:tblGrid>
    <w:tr w:rsidR="00411CB4" w:rsidRPr="000B00B0" w:rsidTr="00411CB4">
      <w:trPr>
        <w:jc w:val="right"/>
      </w:trPr>
      <w:tc>
        <w:tcPr>
          <w:tcW w:w="611" w:type="dxa"/>
          <w:noWrap/>
        </w:tcPr>
        <w:p w:rsidR="00411CB4" w:rsidRPr="000B00B0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0B00B0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35" w:type="dxa"/>
          <w:noWrap/>
        </w:tcPr>
        <w:p w:rsidR="00411CB4" w:rsidRPr="000B00B0" w:rsidRDefault="00E26B8B" w:rsidP="00411CB4">
          <w:pPr>
            <w:spacing w:line="240" w:lineRule="exac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 w:hint="eastAsia"/>
            </w:rPr>
            <w:t>34210</w:t>
          </w:r>
        </w:p>
      </w:tc>
    </w:tr>
    <w:tr w:rsidR="00411CB4" w:rsidRPr="000B00B0" w:rsidTr="00411CB4">
      <w:trPr>
        <w:jc w:val="right"/>
      </w:trPr>
      <w:tc>
        <w:tcPr>
          <w:tcW w:w="611" w:type="dxa"/>
          <w:noWrap/>
        </w:tcPr>
        <w:p w:rsidR="00411CB4" w:rsidRPr="000B00B0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0B00B0">
            <w:rPr>
              <w:rFonts w:ascii="Times New Roman" w:eastAsia="標楷體" w:hAnsi="Times New Roman" w:cs="Times New Roman" w:hint="eastAsia"/>
            </w:rPr>
            <w:t>頁次</w:t>
          </w:r>
          <w:r w:rsidRPr="000B00B0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35" w:type="dxa"/>
          <w:noWrap/>
        </w:tcPr>
        <w:p w:rsidR="00411CB4" w:rsidRPr="000B00B0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0B00B0">
            <w:rPr>
              <w:rFonts w:ascii="Times New Roman" w:hAnsi="Times New Roman" w:cs="Times New Roman"/>
            </w:rPr>
            <w:fldChar w:fldCharType="begin"/>
          </w:r>
          <w:r w:rsidRPr="000B00B0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0B00B0">
            <w:rPr>
              <w:rFonts w:ascii="Times New Roman" w:hAnsi="Times New Roman" w:cs="Times New Roman"/>
            </w:rPr>
            <w:fldChar w:fldCharType="separate"/>
          </w:r>
          <w:r w:rsidR="00C81878">
            <w:rPr>
              <w:rFonts w:ascii="Times New Roman" w:hAnsi="Times New Roman" w:cs="Times New Roman"/>
              <w:noProof/>
            </w:rPr>
            <w:t>2</w:t>
          </w:r>
          <w:r w:rsidRPr="000B00B0">
            <w:rPr>
              <w:rFonts w:ascii="Times New Roman" w:hAnsi="Times New Roman" w:cs="Times New Roman"/>
            </w:rPr>
            <w:fldChar w:fldCharType="end"/>
          </w:r>
          <w:r w:rsidRPr="000B00B0">
            <w:rPr>
              <w:rFonts w:ascii="Times New Roman" w:hAnsi="Times New Roman" w:cs="Times New Roman" w:hint="eastAsia"/>
              <w:w w:val="66"/>
            </w:rPr>
            <w:t>－</w:t>
          </w:r>
          <w:r w:rsidRPr="000B00B0">
            <w:rPr>
              <w:rFonts w:ascii="Times New Roman" w:hAnsi="Times New Roman" w:cs="Times New Roman"/>
            </w:rPr>
            <w:fldChar w:fldCharType="begin"/>
          </w:r>
          <w:r w:rsidRPr="000B00B0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0B00B0">
            <w:rPr>
              <w:rFonts w:ascii="Times New Roman" w:hAnsi="Times New Roman" w:cs="Times New Roman"/>
            </w:rPr>
            <w:fldChar w:fldCharType="separate"/>
          </w:r>
          <w:r w:rsidR="00C81878">
            <w:rPr>
              <w:rFonts w:ascii="Times New Roman" w:hAnsi="Times New Roman" w:cs="Times New Roman"/>
              <w:noProof/>
            </w:rPr>
            <w:t>2</w:t>
          </w:r>
          <w:r w:rsidRPr="000B00B0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Pr="000B00B0" w:rsidRDefault="00411CB4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316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692"/>
    </w:tblGrid>
    <w:tr w:rsidR="00411CB4" w:rsidRPr="000B00B0" w:rsidTr="00B05F2E">
      <w:tc>
        <w:tcPr>
          <w:tcW w:w="632" w:type="dxa"/>
          <w:noWrap/>
        </w:tcPr>
        <w:p w:rsidR="00411CB4" w:rsidRPr="000B00B0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0B00B0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0B00B0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0B00B0" w:rsidTr="00B05F2E">
      <w:tc>
        <w:tcPr>
          <w:tcW w:w="632" w:type="dxa"/>
          <w:noWrap/>
        </w:tcPr>
        <w:p w:rsidR="00411CB4" w:rsidRPr="000B00B0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0B00B0">
            <w:rPr>
              <w:rFonts w:ascii="Times New Roman" w:eastAsia="標楷體" w:hAnsi="Times New Roman" w:cs="Times New Roman" w:hint="eastAsia"/>
            </w:rPr>
            <w:t>頁次</w:t>
          </w:r>
          <w:r w:rsidRPr="000B00B0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0B00B0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0B00B0">
            <w:rPr>
              <w:rFonts w:ascii="Times New Roman" w:hAnsi="Times New Roman" w:cs="Times New Roman"/>
            </w:rPr>
            <w:fldChar w:fldCharType="begin"/>
          </w:r>
          <w:r w:rsidRPr="000B00B0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0B00B0">
            <w:rPr>
              <w:rFonts w:ascii="Times New Roman" w:hAnsi="Times New Roman" w:cs="Times New Roman"/>
            </w:rPr>
            <w:fldChar w:fldCharType="separate"/>
          </w:r>
          <w:r w:rsidR="00E26B8B">
            <w:rPr>
              <w:rFonts w:ascii="Times New Roman" w:hAnsi="Times New Roman" w:cs="Times New Roman"/>
              <w:noProof/>
            </w:rPr>
            <w:t>3</w:t>
          </w:r>
          <w:r w:rsidRPr="000B00B0">
            <w:rPr>
              <w:rFonts w:ascii="Times New Roman" w:hAnsi="Times New Roman" w:cs="Times New Roman"/>
            </w:rPr>
            <w:fldChar w:fldCharType="end"/>
          </w:r>
          <w:r w:rsidRPr="000B00B0">
            <w:rPr>
              <w:rFonts w:ascii="Times New Roman" w:hAnsi="Times New Roman" w:cs="Times New Roman" w:hint="eastAsia"/>
              <w:w w:val="66"/>
            </w:rPr>
            <w:t>－</w:t>
          </w:r>
          <w:r w:rsidRPr="000B00B0">
            <w:rPr>
              <w:rFonts w:ascii="Times New Roman" w:hAnsi="Times New Roman" w:cs="Times New Roman"/>
            </w:rPr>
            <w:fldChar w:fldCharType="begin"/>
          </w:r>
          <w:r w:rsidRPr="000B00B0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0B00B0">
            <w:rPr>
              <w:rFonts w:ascii="Times New Roman" w:hAnsi="Times New Roman" w:cs="Times New Roman"/>
            </w:rPr>
            <w:fldChar w:fldCharType="separate"/>
          </w:r>
          <w:r w:rsidR="00E26B8B">
            <w:rPr>
              <w:rFonts w:ascii="Times New Roman" w:hAnsi="Times New Roman" w:cs="Times New Roman"/>
              <w:noProof/>
            </w:rPr>
            <w:t>3</w:t>
          </w:r>
          <w:r w:rsidRPr="000B00B0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Pr="000B00B0" w:rsidRDefault="009F7437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241"/>
      <w:gridCol w:w="2881"/>
    </w:tblGrid>
    <w:tr w:rsidR="00562928" w:rsidRPr="000B00B0" w:rsidTr="00583E0C">
      <w:tc>
        <w:tcPr>
          <w:tcW w:w="10536" w:type="dxa"/>
          <w:gridSpan w:val="4"/>
        </w:tcPr>
        <w:p w:rsidR="00562928" w:rsidRPr="000B00B0" w:rsidRDefault="00104948" w:rsidP="00256944">
          <w:pPr>
            <w:pStyle w:val="a6"/>
            <w:spacing w:afterLines="50" w:after="120"/>
            <w:jc w:val="center"/>
            <w:rPr>
              <w:rFonts w:ascii="Times New Roman" w:eastAsia="標楷體" w:hAnsi="Times New Roman" w:cs="Times New Roman"/>
            </w:rPr>
          </w:pPr>
          <w:r w:rsidRPr="000B00B0">
            <w:rPr>
              <w:rFonts w:ascii="Times New Roman" w:eastAsia="標楷體" w:hAnsi="Times New Roman" w:cs="Times New Roman"/>
              <w:sz w:val="36"/>
              <w:szCs w:val="36"/>
            </w:rPr>
            <w:t>11</w:t>
          </w:r>
          <w:r w:rsidR="00256944" w:rsidRPr="000B00B0">
            <w:rPr>
              <w:rFonts w:ascii="Times New Roman" w:eastAsia="標楷體" w:hAnsi="Times New Roman" w:cs="Times New Roman"/>
              <w:sz w:val="36"/>
              <w:szCs w:val="36"/>
            </w:rPr>
            <w:t>5</w:t>
          </w:r>
          <w:r w:rsidR="00562928" w:rsidRPr="000B00B0">
            <w:rPr>
              <w:rFonts w:ascii="Times New Roman" w:eastAsia="標楷體" w:hAnsi="Times New Roman" w:cs="Times New Roman"/>
              <w:sz w:val="36"/>
              <w:szCs w:val="36"/>
            </w:rPr>
            <w:t>年公務人員高等考試三級考試試題</w:t>
          </w:r>
        </w:p>
      </w:tc>
    </w:tr>
    <w:tr w:rsidR="00562928" w:rsidRPr="000B00B0" w:rsidTr="001F4A31">
      <w:trPr>
        <w:trHeight w:hRule="exact" w:val="340"/>
      </w:trPr>
      <w:tc>
        <w:tcPr>
          <w:tcW w:w="1120" w:type="dxa"/>
          <w:noWrap/>
        </w:tcPr>
        <w:p w:rsidR="00562928" w:rsidRPr="000B00B0" w:rsidRDefault="00562928" w:rsidP="00907343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0B00B0">
            <w:rPr>
              <w:rFonts w:ascii="Times New Roman" w:eastAsia="標楷體" w:hAnsi="Times New Roman" w:cs="Times New Roman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0B00B0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0B00B0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0B00B0" w:rsidRDefault="00FF49C4" w:rsidP="00FF49C4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  <w:szCs w:val="28"/>
            </w:rPr>
          </w:pPr>
          <w:r w:rsidRPr="000B00B0">
            <w:rPr>
              <w:rFonts w:ascii="Times New Roman" w:eastAsia="標楷體" w:hAnsi="Times New Roman" w:cs="Times New Roman" w:hint="eastAsia"/>
              <w:sz w:val="28"/>
            </w:rPr>
            <w:t>公職</w:t>
          </w:r>
          <w:r w:rsidRPr="000B00B0">
            <w:rPr>
              <w:rFonts w:ascii="Times New Roman" w:eastAsia="標楷體" w:hAnsi="Times New Roman" w:cs="Times New Roman"/>
              <w:sz w:val="28"/>
            </w:rPr>
            <w:t>社會工作師</w:t>
          </w:r>
        </w:p>
      </w:tc>
    </w:tr>
    <w:tr w:rsidR="00562928" w:rsidRPr="000B00B0" w:rsidTr="001F4A31">
      <w:trPr>
        <w:trHeight w:hRule="exact" w:val="340"/>
      </w:trPr>
      <w:tc>
        <w:tcPr>
          <w:tcW w:w="1120" w:type="dxa"/>
          <w:noWrap/>
        </w:tcPr>
        <w:p w:rsidR="00562928" w:rsidRPr="000B00B0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0B00B0">
            <w:rPr>
              <w:rFonts w:ascii="Times New Roman" w:eastAsia="標楷體" w:hAnsi="Times New Roman" w:cs="Times New Roman"/>
              <w:sz w:val="28"/>
            </w:rPr>
            <w:t>科目</w:t>
          </w:r>
        </w:p>
      </w:tc>
      <w:tc>
        <w:tcPr>
          <w:tcW w:w="294" w:type="dxa"/>
          <w:noWrap/>
        </w:tcPr>
        <w:p w:rsidR="00562928" w:rsidRPr="000B00B0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0B00B0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0B00B0" w:rsidRDefault="00C8187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  <w:szCs w:val="28"/>
            </w:rPr>
          </w:pPr>
          <w:r>
            <w:rPr>
              <w:rFonts w:ascii="Times New Roman" w:eastAsia="標楷體" w:hAnsi="Times New Roman" w:cs="Times New Roman" w:hint="eastAsia"/>
              <w:sz w:val="28"/>
              <w:szCs w:val="28"/>
            </w:rPr>
            <w:t>行</w:t>
          </w:r>
          <w:r>
            <w:rPr>
              <w:rFonts w:ascii="Times New Roman" w:eastAsia="標楷體" w:hAnsi="Times New Roman" w:cs="Times New Roman"/>
              <w:sz w:val="28"/>
              <w:szCs w:val="28"/>
            </w:rPr>
            <w:t>政法、</w:t>
          </w:r>
          <w:bookmarkStart w:id="1" w:name="_GoBack"/>
          <w:bookmarkEnd w:id="1"/>
          <w:r w:rsidR="00FF49C4" w:rsidRPr="000B00B0">
            <w:rPr>
              <w:rFonts w:ascii="Times New Roman" w:eastAsia="標楷體" w:hAnsi="Times New Roman" w:cs="Times New Roman" w:hint="eastAsia"/>
              <w:sz w:val="28"/>
              <w:szCs w:val="28"/>
            </w:rPr>
            <w:t>社</w:t>
          </w:r>
          <w:r w:rsidR="00FF49C4" w:rsidRPr="000B00B0">
            <w:rPr>
              <w:rFonts w:ascii="Times New Roman" w:eastAsia="標楷體" w:hAnsi="Times New Roman" w:cs="Times New Roman"/>
              <w:sz w:val="28"/>
              <w:szCs w:val="28"/>
            </w:rPr>
            <w:t>會福利政策與法規</w:t>
          </w:r>
        </w:p>
      </w:tc>
    </w:tr>
    <w:tr w:rsidR="00562928" w:rsidRPr="000B00B0" w:rsidTr="00DC41C2">
      <w:trPr>
        <w:trHeight w:val="312"/>
      </w:trPr>
      <w:tc>
        <w:tcPr>
          <w:tcW w:w="1120" w:type="dxa"/>
          <w:noWrap/>
        </w:tcPr>
        <w:p w:rsidR="00562928" w:rsidRPr="000B00B0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0B00B0">
            <w:rPr>
              <w:rFonts w:ascii="Times New Roman" w:eastAsia="標楷體" w:hAnsi="Times New Roman" w:cs="Times New Roman"/>
              <w:sz w:val="28"/>
            </w:rPr>
            <w:t>考試時間</w:t>
          </w:r>
        </w:p>
      </w:tc>
      <w:tc>
        <w:tcPr>
          <w:tcW w:w="294" w:type="dxa"/>
          <w:noWrap/>
        </w:tcPr>
        <w:p w:rsidR="00562928" w:rsidRPr="000B00B0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0B00B0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6241" w:type="dxa"/>
          <w:tcMar>
            <w:left w:w="57" w:type="dxa"/>
          </w:tcMar>
        </w:tcPr>
        <w:p w:rsidR="00562928" w:rsidRPr="000B00B0" w:rsidRDefault="00B05F2E" w:rsidP="00C306F6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0B00B0">
            <w:rPr>
              <w:rFonts w:ascii="Times New Roman" w:eastAsia="標楷體" w:hAnsi="Times New Roman" w:cs="Times New Roman" w:hint="eastAsia"/>
              <w:sz w:val="28"/>
            </w:rPr>
            <w:t>2</w:t>
          </w:r>
          <w:r w:rsidRPr="000B00B0">
            <w:rPr>
              <w:rFonts w:ascii="Times New Roman" w:eastAsia="標楷體" w:hAnsi="Times New Roman" w:cs="Times New Roman" w:hint="eastAsia"/>
              <w:sz w:val="28"/>
            </w:rPr>
            <w:t>小時</w:t>
          </w:r>
        </w:p>
      </w:tc>
      <w:tc>
        <w:tcPr>
          <w:tcW w:w="2881" w:type="dxa"/>
        </w:tcPr>
        <w:p w:rsidR="00562928" w:rsidRPr="000B00B0" w:rsidRDefault="00562928" w:rsidP="00DC41C2">
          <w:pPr>
            <w:pStyle w:val="a6"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0B00B0">
            <w:rPr>
              <w:rFonts w:ascii="Times New Roman" w:eastAsia="標楷體" w:hAnsi="Times New Roman" w:cs="Times New Roman"/>
              <w:sz w:val="28"/>
            </w:rPr>
            <w:t>座號：</w:t>
          </w:r>
          <w:r w:rsidRPr="000B00B0">
            <w:rPr>
              <w:rFonts w:ascii="Times New Roman" w:eastAsia="標楷體" w:hAnsi="Times New Roman" w:cs="Times New Roman"/>
              <w:sz w:val="28"/>
              <w:u w:val="single"/>
            </w:rPr>
            <w:t xml:space="preserve">　　　　　</w:t>
          </w:r>
          <w:r w:rsidR="00DC41C2" w:rsidRPr="000B00B0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  <w:r w:rsidRPr="000B00B0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</w:p>
      </w:tc>
    </w:tr>
    <w:tr w:rsidR="00562928" w:rsidRPr="000B00B0" w:rsidTr="00583E0C">
      <w:tc>
        <w:tcPr>
          <w:tcW w:w="10536" w:type="dxa"/>
          <w:gridSpan w:val="4"/>
        </w:tcPr>
        <w:p w:rsidR="00562928" w:rsidRPr="000B00B0" w:rsidRDefault="00562928" w:rsidP="00C306F6">
          <w:pPr>
            <w:pStyle w:val="a6"/>
            <w:autoSpaceDN/>
            <w:spacing w:beforeLines="50" w:before="120" w:line="260" w:lineRule="exact"/>
            <w:rPr>
              <w:rFonts w:ascii="Times New Roman" w:eastAsia="標楷體" w:hAnsi="Times New Roman" w:cs="Times New Roman"/>
              <w:sz w:val="24"/>
            </w:rPr>
          </w:pPr>
          <w:r w:rsidRPr="000B00B0">
            <w:rPr>
              <w:rFonts w:ascii="Times New Roman" w:eastAsia="標楷體" w:hAnsi="Times New Roman" w:cs="Times New Roman" w:hint="eastAsia"/>
              <w:spacing w:val="-12"/>
              <w:sz w:val="24"/>
            </w:rPr>
            <w:t>※</w:t>
          </w:r>
          <w:r w:rsidRPr="000B00B0">
            <w:rPr>
              <w:rFonts w:ascii="Times New Roman" w:eastAsia="標楷體" w:hAnsi="Times New Roman" w:cs="Times New Roman"/>
              <w:spacing w:val="-12"/>
              <w:sz w:val="24"/>
            </w:rPr>
            <w:t>注意</w:t>
          </w:r>
          <w:r w:rsidRPr="000B00B0">
            <w:rPr>
              <w:rFonts w:ascii="Times New Roman" w:eastAsia="標楷體" w:hAnsi="Times New Roman" w:cs="Times New Roman"/>
              <w:sz w:val="24"/>
            </w:rPr>
            <w:t>：</w:t>
          </w:r>
          <w:r w:rsidR="0012496F" w:rsidRPr="000B00B0">
            <w:rPr>
              <w:rFonts w:ascii="Times New Roman" w:eastAsia="標楷體" w:hAnsi="Times New Roman" w:cs="Times New Roman" w:hint="eastAsia"/>
              <w:sz w:val="24"/>
            </w:rPr>
            <w:t></w:t>
          </w:r>
          <w:r w:rsidRPr="000B00B0">
            <w:rPr>
              <w:rFonts w:ascii="Times New Roman" w:eastAsia="標楷體" w:hAnsi="Times New Roman" w:cs="Times New Roman" w:hint="eastAsia"/>
              <w:spacing w:val="-8"/>
              <w:sz w:val="24"/>
            </w:rPr>
            <w:t>禁止使用電子計算器。</w:t>
          </w:r>
        </w:p>
        <w:p w:rsidR="0012496F" w:rsidRPr="000B00B0" w:rsidRDefault="00511372" w:rsidP="00C306F6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spacing w:val="-8"/>
              <w:w w:val="95"/>
              <w:kern w:val="0"/>
              <w:szCs w:val="52"/>
            </w:rPr>
          </w:pPr>
          <w:r w:rsidRPr="000B00B0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0B00B0">
            <w:rPr>
              <w:rFonts w:ascii="Times New Roman" w:eastAsia="標楷體" w:hAnsi="Times New Roman" w:cs="Times New Roman"/>
              <w:kern w:val="0"/>
              <w:szCs w:val="52"/>
            </w:rPr>
            <w:t></w:t>
          </w:r>
          <w:r w:rsidR="0012496F" w:rsidRPr="000B00B0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不必抄題，作答時請將試題題</w:t>
          </w:r>
          <w:r w:rsidR="007D400E" w:rsidRPr="000B00B0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號及答案依照順序寫在</w:t>
          </w:r>
          <w:r w:rsidR="0012496F" w:rsidRPr="000B00B0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試卷上，於本試題上作答者，不予計分。</w:t>
          </w:r>
        </w:p>
        <w:p w:rsidR="0012496F" w:rsidRPr="000B00B0" w:rsidRDefault="00511372" w:rsidP="00907343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</w:rPr>
          </w:pPr>
          <w:r w:rsidRPr="000B00B0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0B00B0">
            <w:rPr>
              <w:rFonts w:ascii="Times New Roman" w:eastAsia="標楷體" w:hAnsi="Times New Roman" w:cs="Times New Roman" w:hint="eastAsia"/>
              <w:kern w:val="0"/>
              <w:szCs w:val="52"/>
            </w:rPr>
            <w:t></w:t>
          </w:r>
          <w:r w:rsidR="0012496F" w:rsidRPr="000B00B0">
            <w:rPr>
              <w:rFonts w:ascii="Times New Roman" w:eastAsia="標楷體" w:hAnsi="Times New Roman" w:cs="Times New Roman" w:hint="eastAsia"/>
              <w:spacing w:val="-8"/>
              <w:szCs w:val="20"/>
            </w:rPr>
            <w:t>本科目除專門名詞或數理公式外，應使用本國文字作答。</w:t>
          </w:r>
        </w:p>
      </w:tc>
    </w:tr>
  </w:tbl>
  <w:p w:rsidR="00562928" w:rsidRPr="000B00B0" w:rsidRDefault="00562928" w:rsidP="00562928">
    <w:pPr>
      <w:pStyle w:val="a6"/>
      <w:spacing w:line="14" w:lineRule="exact"/>
      <w:rPr>
        <w:rFonts w:ascii="Times New Roman" w:hAnsi="Times New Roman" w:cs="Times New Roman"/>
      </w:rPr>
    </w:pPr>
    <w:r w:rsidRPr="000B00B0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431800</wp:posOffset>
              </wp:positionH>
              <wp:positionV relativeFrom="topMargin">
                <wp:posOffset>540385</wp:posOffset>
              </wp:positionV>
              <wp:extent cx="1282065" cy="704215"/>
              <wp:effectExtent l="0" t="0" r="13335" b="635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065" cy="704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a"/>
                            <w:tblW w:w="124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27"/>
                            <w:gridCol w:w="657"/>
                          </w:tblGrid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FF49C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34210</w:t>
                                </w:r>
                              </w:p>
                            </w:tc>
                          </w:tr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C81878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2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C81878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34pt;margin-top:42.55pt;width:100.95pt;height:55.4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" filled="f" stroked="f" strokeweight=".5pt">
              <v:textbox inset="0,0,0,0">
                <w:txbxContent>
                  <w:tbl>
                    <w:tblPr>
                      <w:tblStyle w:val="aa"/>
                      <w:tblW w:w="1246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27"/>
                      <w:gridCol w:w="657"/>
                    </w:tblGrid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FF49C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34210</w:t>
                          </w:r>
                        </w:p>
                      </w:tc>
                    </w:tr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C81878">
                            <w:rPr>
                              <w:rFonts w:ascii="Times New Roman" w:hAnsi="Times New Roman" w:cs="Times New Roman"/>
                              <w:noProof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C81878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Default="00562928"/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F4773"/>
    <w:multiLevelType w:val="multilevel"/>
    <w:tmpl w:val="6EE817EE"/>
    <w:name w:val="題目"/>
    <w:lvl w:ilvl="0">
      <w:start w:val="1"/>
      <w:numFmt w:val="decimal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" w15:restartNumberingAfterBreak="0">
    <w:nsid w:val="4F204E81"/>
    <w:multiLevelType w:val="hybridMultilevel"/>
    <w:tmpl w:val="400A4AA4"/>
    <w:lvl w:ilvl="0" w:tplc="443656C6">
      <w:start w:val="1"/>
      <w:numFmt w:val="taiwaneseCountingThousand"/>
      <w:lvlText w:val="%1、"/>
      <w:lvlJc w:val="left"/>
      <w:pPr>
        <w:ind w:left="720" w:hanging="720"/>
      </w:pPr>
      <w:rPr>
        <w:rFonts w:ascii="標楷體" w:hAnsi="標楷體"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0031EC5"/>
    <w:multiLevelType w:val="multilevel"/>
    <w:tmpl w:val="DFA667BC"/>
    <w:lvl w:ilvl="0">
      <w:start w:val="1"/>
      <w:numFmt w:val="taiwaneseCountingThousand"/>
      <w:lvlRestart w:val="0"/>
      <w:pStyle w:val="a"/>
      <w:suff w:val="nothing"/>
      <w:lvlText w:val="%1、"/>
      <w:lvlJc w:val="left"/>
      <w:pPr>
        <w:ind w:left="766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674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453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7020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587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29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862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429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10132" w:hanging="1695"/>
      </w:pPr>
      <w:rPr>
        <w:rFonts w:hint="eastAsia"/>
      </w:rPr>
    </w:lvl>
  </w:abstractNum>
  <w:abstractNum w:abstractNumId="3" w15:restartNumberingAfterBreak="0">
    <w:nsid w:val="79E643D6"/>
    <w:multiLevelType w:val="hybridMultilevel"/>
    <w:tmpl w:val="0D0CE2EA"/>
    <w:lvl w:ilvl="0" w:tplc="2F6ED63A">
      <w:start w:val="1"/>
      <w:numFmt w:val="taiwaneseCountingThousand"/>
      <w:lvlText w:val="%1、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bordersDoNotSurroundHeader/>
  <w:bordersDoNotSurroundFooter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A13AA"/>
    <w:rsid w:val="000B00B0"/>
    <w:rsid w:val="00104948"/>
    <w:rsid w:val="00105859"/>
    <w:rsid w:val="00113157"/>
    <w:rsid w:val="0012496F"/>
    <w:rsid w:val="00141D1E"/>
    <w:rsid w:val="00150BF4"/>
    <w:rsid w:val="001B2A40"/>
    <w:rsid w:val="001F4A31"/>
    <w:rsid w:val="00203DC0"/>
    <w:rsid w:val="00232BFC"/>
    <w:rsid w:val="00256944"/>
    <w:rsid w:val="00261A08"/>
    <w:rsid w:val="002C2300"/>
    <w:rsid w:val="002E3FAB"/>
    <w:rsid w:val="0038486F"/>
    <w:rsid w:val="003B220E"/>
    <w:rsid w:val="00411CB4"/>
    <w:rsid w:val="00421D26"/>
    <w:rsid w:val="00467E52"/>
    <w:rsid w:val="00493D61"/>
    <w:rsid w:val="004E2F8C"/>
    <w:rsid w:val="00511372"/>
    <w:rsid w:val="00562928"/>
    <w:rsid w:val="00581978"/>
    <w:rsid w:val="00583E0C"/>
    <w:rsid w:val="00585645"/>
    <w:rsid w:val="00780021"/>
    <w:rsid w:val="007A60F9"/>
    <w:rsid w:val="007B339D"/>
    <w:rsid w:val="007B36F9"/>
    <w:rsid w:val="007D400E"/>
    <w:rsid w:val="00810A93"/>
    <w:rsid w:val="0081422D"/>
    <w:rsid w:val="00814D4A"/>
    <w:rsid w:val="008152C1"/>
    <w:rsid w:val="00886C77"/>
    <w:rsid w:val="008971BE"/>
    <w:rsid w:val="008C0FB6"/>
    <w:rsid w:val="008C5B2C"/>
    <w:rsid w:val="00907343"/>
    <w:rsid w:val="009125D0"/>
    <w:rsid w:val="0095046D"/>
    <w:rsid w:val="00950962"/>
    <w:rsid w:val="009B0771"/>
    <w:rsid w:val="009B4D23"/>
    <w:rsid w:val="009F7437"/>
    <w:rsid w:val="00A16E6B"/>
    <w:rsid w:val="00A72A8E"/>
    <w:rsid w:val="00AA2B83"/>
    <w:rsid w:val="00AB56C6"/>
    <w:rsid w:val="00B05F2E"/>
    <w:rsid w:val="00B768AB"/>
    <w:rsid w:val="00B913B8"/>
    <w:rsid w:val="00BF35E3"/>
    <w:rsid w:val="00C16830"/>
    <w:rsid w:val="00C21DAE"/>
    <w:rsid w:val="00C306F6"/>
    <w:rsid w:val="00C54598"/>
    <w:rsid w:val="00C72A78"/>
    <w:rsid w:val="00C81878"/>
    <w:rsid w:val="00D50114"/>
    <w:rsid w:val="00D67BDF"/>
    <w:rsid w:val="00D83088"/>
    <w:rsid w:val="00D9036A"/>
    <w:rsid w:val="00DC41C2"/>
    <w:rsid w:val="00E00D79"/>
    <w:rsid w:val="00E26B8B"/>
    <w:rsid w:val="00F63CF9"/>
    <w:rsid w:val="00FC73E7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semiHidden/>
    <w:qFormat/>
    <w:rsid w:val="00C72A78"/>
    <w:pPr>
      <w:widowControl w:val="0"/>
      <w:overflowPunct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新細明12"/>
    <w:next w:val="a0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</w:rPr>
  </w:style>
  <w:style w:type="paragraph" w:customStyle="1" w:styleId="11">
    <w:name w:val="新細明11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">
    <w:name w:val="申論"/>
    <w:qFormat/>
    <w:rsid w:val="0095046D"/>
    <w:pPr>
      <w:numPr>
        <w:numId w:val="1"/>
      </w:numPr>
      <w:overflowPunct w:val="0"/>
      <w:snapToGrid w:val="0"/>
      <w:spacing w:beforeLines="100" w:before="100"/>
      <w:ind w:left="2" w:hangingChars="200" w:hanging="200"/>
      <w:jc w:val="both"/>
    </w:pPr>
    <w:rPr>
      <w:rFonts w:ascii="Times New Roman" w:eastAsia="標楷體" w:hAnsi="Times New Roman"/>
      <w:sz w:val="32"/>
    </w:rPr>
  </w:style>
  <w:style w:type="paragraph" w:customStyle="1" w:styleId="a4">
    <w:name w:val="申論選項"/>
    <w:basedOn w:val="a"/>
    <w:qFormat/>
    <w:rsid w:val="00150BF4"/>
    <w:pPr>
      <w:widowControl w:val="0"/>
      <w:numPr>
        <w:numId w:val="0"/>
      </w:numPr>
      <w:spacing w:beforeLines="0" w:before="0"/>
      <w:ind w:left="964" w:hanging="329"/>
    </w:pPr>
  </w:style>
  <w:style w:type="paragraph" w:customStyle="1" w:styleId="a5">
    <w:name w:val="申論表格"/>
    <w:basedOn w:val="a4"/>
    <w:next w:val="a4"/>
    <w:qFormat/>
    <w:rsid w:val="00C54598"/>
    <w:pPr>
      <w:ind w:left="0" w:firstLine="0"/>
      <w:jc w:val="center"/>
    </w:pPr>
    <w:rPr>
      <w:sz w:val="28"/>
    </w:rPr>
  </w:style>
  <w:style w:type="paragraph" w:styleId="a6">
    <w:name w:val="header"/>
    <w:basedOn w:val="a0"/>
    <w:link w:val="a7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rsid w:val="009F7437"/>
    <w:rPr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rsid w:val="009F7437"/>
    <w:rPr>
      <w:sz w:val="20"/>
      <w:szCs w:val="20"/>
    </w:rPr>
  </w:style>
  <w:style w:type="table" w:styleId="aa">
    <w:name w:val="Table Grid"/>
    <w:basedOn w:val="a2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0"/>
    <w:link w:val="ac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0"/>
    <w:uiPriority w:val="34"/>
    <w:semiHidden/>
    <w:qFormat/>
    <w:rsid w:val="000A13AA"/>
    <w:pPr>
      <w:ind w:leftChars="200" w:left="480"/>
    </w:pPr>
  </w:style>
  <w:style w:type="paragraph" w:customStyle="1" w:styleId="Standard">
    <w:name w:val="Standard"/>
    <w:rsid w:val="00FF49C4"/>
    <w:pPr>
      <w:suppressAutoHyphens/>
      <w:autoSpaceDN w:val="0"/>
      <w:textAlignment w:val="baseline"/>
    </w:pPr>
    <w:rPr>
      <w:rFonts w:ascii="Liberation Serif" w:hAnsi="Liberation Serif" w:cs="Lucida Sans"/>
      <w:kern w:val="3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57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123</Words>
  <Characters>707</Characters>
  <Application>Microsoft Office Word</Application>
  <DocSecurity>0</DocSecurity>
  <Lines>5</Lines>
  <Paragraphs>1</Paragraphs>
  <ScaleCrop>false</ScaleCrop>
  <Company>moex</Company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7</cp:revision>
  <cp:lastPrinted>2020-06-12T14:00:00Z</cp:lastPrinted>
  <dcterms:created xsi:type="dcterms:W3CDTF">2026-06-23T15:05:00Z</dcterms:created>
  <dcterms:modified xsi:type="dcterms:W3CDTF">2026-06-28T13:31:00Z</dcterms:modified>
  <cp:category>2</cp:category>
</cp:coreProperties>
</file>