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B2" w:rsidRPr="0094251D" w:rsidRDefault="00CE31B2" w:rsidP="00A46A48">
      <w:pPr>
        <w:pStyle w:val="a"/>
        <w:spacing w:before="360"/>
        <w:ind w:left="640" w:hanging="640"/>
      </w:pPr>
      <w:r w:rsidRPr="0094251D">
        <w:rPr>
          <w:rFonts w:hint="eastAsia"/>
        </w:rPr>
        <w:t>當代各國關注企業的社會責任，例如</w:t>
      </w:r>
      <w:r w:rsidRPr="0094251D">
        <w:t>ESG</w:t>
      </w:r>
      <w:r w:rsidR="004E6ABC" w:rsidRPr="0094251D">
        <w:t>（</w:t>
      </w:r>
      <w:r w:rsidRPr="0094251D">
        <w:t>Environment</w:t>
      </w:r>
      <w:r w:rsidR="004E6ABC" w:rsidRPr="0094251D">
        <w:t>,</w:t>
      </w:r>
      <w:r w:rsidRPr="0094251D">
        <w:t xml:space="preserve"> Society and Governance</w:t>
      </w:r>
      <w:r w:rsidR="004E6ABC" w:rsidRPr="0094251D">
        <w:t>）</w:t>
      </w:r>
      <w:r w:rsidRPr="0094251D">
        <w:rPr>
          <w:rFonts w:hint="eastAsia"/>
        </w:rPr>
        <w:t>強調環境、社會與治理績效，常被納入投資評估、法規揭露與企業永續治理。越來越多的國際案例也顯示，</w:t>
      </w:r>
      <w:r w:rsidRPr="0094251D">
        <w:t>S</w:t>
      </w:r>
      <w:r w:rsidR="004E6ABC" w:rsidRPr="0094251D">
        <w:t>（</w:t>
      </w:r>
      <w:r w:rsidRPr="0094251D">
        <w:t>Society</w:t>
      </w:r>
      <w:r w:rsidR="004E6ABC" w:rsidRPr="0094251D">
        <w:t>）</w:t>
      </w:r>
      <w:r w:rsidRPr="0094251D">
        <w:rPr>
          <w:rFonts w:hint="eastAsia"/>
        </w:rPr>
        <w:t>的部分已</w:t>
      </w:r>
      <w:r w:rsidRPr="00795B11">
        <w:rPr>
          <w:rFonts w:hint="eastAsia"/>
          <w:spacing w:val="-4"/>
        </w:rPr>
        <w:t>經納入文化藝術的發展，企業對於文化藝術的支持日漸增加。請提出</w:t>
      </w:r>
      <w:r w:rsidR="00795B11" w:rsidRPr="00795B11">
        <w:rPr>
          <w:rFonts w:hint="eastAsia"/>
          <w:spacing w:val="-4"/>
          <w:lang w:eastAsia="zh-HK"/>
        </w:rPr>
        <w:t>二</w:t>
      </w:r>
      <w:r w:rsidRPr="00795B11">
        <w:rPr>
          <w:rFonts w:hint="eastAsia"/>
          <w:spacing w:val="-4"/>
        </w:rPr>
        <w:t>個</w:t>
      </w:r>
      <w:r w:rsidRPr="0094251D">
        <w:rPr>
          <w:rFonts w:hint="eastAsia"/>
        </w:rPr>
        <w:t>國際案例來說明該國政府如何推動企業贊助文化藝術的政策</w:t>
      </w:r>
      <w:r w:rsidR="003E5962" w:rsidRPr="0094251D">
        <w:t>？</w:t>
      </w:r>
      <w:r w:rsidR="004E6ABC" w:rsidRPr="0094251D">
        <w:t>（</w:t>
      </w:r>
      <w:r w:rsidRPr="0094251D">
        <w:t>15</w:t>
      </w:r>
      <w:r w:rsidRPr="0094251D">
        <w:rPr>
          <w:rFonts w:hint="eastAsia"/>
        </w:rPr>
        <w:t>分</w:t>
      </w:r>
      <w:r w:rsidR="004E6ABC" w:rsidRPr="0094251D">
        <w:t>）</w:t>
      </w:r>
      <w:r w:rsidRPr="0094251D">
        <w:rPr>
          <w:rFonts w:hint="eastAsia"/>
        </w:rPr>
        <w:t>並建議我國可以如何參考與落實？</w:t>
      </w:r>
      <w:r w:rsidR="004E6ABC" w:rsidRPr="0094251D">
        <w:t>（</w:t>
      </w:r>
      <w:r w:rsidRPr="0094251D">
        <w:t>10</w:t>
      </w:r>
      <w:r w:rsidRPr="0094251D">
        <w:rPr>
          <w:rFonts w:hint="eastAsia"/>
        </w:rPr>
        <w:t>分</w:t>
      </w:r>
      <w:r w:rsidR="004E6ABC" w:rsidRPr="0094251D">
        <w:t>）</w:t>
      </w:r>
    </w:p>
    <w:p w:rsidR="00CE31B2" w:rsidRPr="0094251D" w:rsidRDefault="00CE31B2" w:rsidP="0094251D">
      <w:pPr>
        <w:pStyle w:val="a"/>
        <w:spacing w:before="360"/>
        <w:ind w:left="640" w:hanging="640"/>
      </w:pPr>
      <w:r w:rsidRPr="0094251D">
        <w:rPr>
          <w:rFonts w:hint="eastAsia"/>
        </w:rPr>
        <w:t>請設計一個人工智慧專案</w:t>
      </w:r>
      <w:r w:rsidR="0094251D" w:rsidRPr="0094251D">
        <w:rPr>
          <w:rFonts w:hint="eastAsia"/>
        </w:rPr>
        <w:t>，</w:t>
      </w:r>
      <w:r w:rsidRPr="0094251D">
        <w:rPr>
          <w:rFonts w:hint="eastAsia"/>
        </w:rPr>
        <w:t>藉由人工智慧技術的導入，來優化文化事務的行政流程</w:t>
      </w:r>
      <w:r w:rsidR="0094251D" w:rsidRPr="0094251D">
        <w:rPr>
          <w:rFonts w:hint="eastAsia"/>
        </w:rPr>
        <w:t>。</w:t>
      </w:r>
      <w:r w:rsidRPr="0094251D">
        <w:rPr>
          <w:rFonts w:hint="eastAsia"/>
        </w:rPr>
        <w:t>請說明你想設計的專案內容，包括：人工智慧的導入被拿來解決什麼問題？可能帶來</w:t>
      </w:r>
      <w:r w:rsidR="004E6ABC" w:rsidRPr="0094251D">
        <w:rPr>
          <w:rFonts w:hint="eastAsia"/>
        </w:rPr>
        <w:t>那</w:t>
      </w:r>
      <w:r w:rsidRPr="0094251D">
        <w:rPr>
          <w:rFonts w:hint="eastAsia"/>
        </w:rPr>
        <w:t>些新的風險？如何設計規範、救濟機制以降低這些風險？</w:t>
      </w:r>
      <w:r w:rsidR="004E6ABC" w:rsidRPr="0094251D">
        <w:t>（</w:t>
      </w:r>
      <w:r w:rsidRPr="0094251D">
        <w:t>25</w:t>
      </w:r>
      <w:r w:rsidRPr="0094251D">
        <w:rPr>
          <w:rFonts w:hint="eastAsia"/>
        </w:rPr>
        <w:t>分</w:t>
      </w:r>
      <w:r w:rsidR="004E6ABC" w:rsidRPr="0094251D">
        <w:t>）</w:t>
      </w:r>
    </w:p>
    <w:p w:rsidR="00CE31B2" w:rsidRPr="0094251D" w:rsidRDefault="00CE31B2" w:rsidP="006D0A61">
      <w:pPr>
        <w:pStyle w:val="a"/>
        <w:spacing w:before="360"/>
        <w:ind w:left="640" w:hanging="640"/>
      </w:pPr>
      <w:r w:rsidRPr="0094251D">
        <w:rPr>
          <w:rFonts w:hint="eastAsia"/>
        </w:rPr>
        <w:t>在聯合國教科文組織的推動下，聯合國大會通過決議，將</w:t>
      </w:r>
      <w:r w:rsidRPr="0094251D">
        <w:t>2022</w:t>
      </w:r>
      <w:r w:rsidRPr="0094251D">
        <w:rPr>
          <w:rFonts w:hint="eastAsia"/>
        </w:rPr>
        <w:t>年起的</w:t>
      </w:r>
      <w:r w:rsidR="004A1427">
        <w:rPr>
          <w:rFonts w:hint="eastAsia"/>
          <w:lang w:eastAsia="zh-HK"/>
        </w:rPr>
        <w:t>十</w:t>
      </w:r>
      <w:r w:rsidRPr="0094251D">
        <w:rPr>
          <w:rFonts w:hint="eastAsia"/>
        </w:rPr>
        <w:t>年（</w:t>
      </w:r>
      <w:r w:rsidRPr="0094251D">
        <w:t>2022</w:t>
      </w:r>
      <w:r w:rsidR="006F1F00">
        <w:t>～</w:t>
      </w:r>
      <w:r w:rsidRPr="0094251D">
        <w:t>2032</w:t>
      </w:r>
      <w:r w:rsidRPr="0094251D">
        <w:rPr>
          <w:rFonts w:hint="eastAsia"/>
        </w:rPr>
        <w:t>）訂為「保護全球原住民族生存、復興推廣原住民族語言的</w:t>
      </w:r>
      <w:r w:rsidR="004A1427">
        <w:rPr>
          <w:rFonts w:hint="eastAsia"/>
          <w:lang w:eastAsia="zh-HK"/>
        </w:rPr>
        <w:t>十</w:t>
      </w:r>
      <w:r w:rsidRPr="0094251D">
        <w:rPr>
          <w:rFonts w:hint="eastAsia"/>
        </w:rPr>
        <w:t>年」，並提出《原住民族語言國際</w:t>
      </w:r>
      <w:r w:rsidR="004A1427">
        <w:rPr>
          <w:rFonts w:hint="eastAsia"/>
          <w:lang w:eastAsia="zh-HK"/>
        </w:rPr>
        <w:t>十</w:t>
      </w:r>
      <w:r w:rsidRPr="0094251D">
        <w:rPr>
          <w:rFonts w:hint="eastAsia"/>
        </w:rPr>
        <w:t>年（</w:t>
      </w:r>
      <w:r w:rsidRPr="0094251D">
        <w:t>2022</w:t>
      </w:r>
      <w:r w:rsidR="0094251D" w:rsidRPr="0094251D">
        <w:t>～</w:t>
      </w:r>
      <w:r w:rsidRPr="0094251D">
        <w:t>2032</w:t>
      </w:r>
      <w:r w:rsidRPr="0094251D">
        <w:rPr>
          <w:rFonts w:hint="eastAsia"/>
        </w:rPr>
        <w:t>）全球行動計畫》回應全球原住</w:t>
      </w:r>
      <w:bookmarkStart w:id="0" w:name="_GoBack"/>
      <w:bookmarkEnd w:id="0"/>
      <w:r w:rsidRPr="0094251D">
        <w:rPr>
          <w:rFonts w:hint="eastAsia"/>
        </w:rPr>
        <w:t>民族語言快速流失的危機，透過國際合作來進行原住民族語言的</w:t>
      </w:r>
      <w:r w:rsidRPr="0094251D">
        <w:rPr>
          <w:rStyle w:val="ae"/>
          <w:rFonts w:hint="eastAsia"/>
          <w:b w:val="0"/>
          <w:bCs w:val="0"/>
        </w:rPr>
        <w:t>保存、復振、促進與日常使用</w:t>
      </w:r>
      <w:r w:rsidRPr="0094251D">
        <w:rPr>
          <w:rFonts w:hint="eastAsia"/>
        </w:rPr>
        <w:t>。請說明這份計</w:t>
      </w:r>
      <w:r w:rsidR="0094251D" w:rsidRPr="0094251D">
        <w:rPr>
          <w:rFonts w:hint="eastAsia"/>
          <w:lang w:eastAsia="zh-HK"/>
        </w:rPr>
        <w:t>畫</w:t>
      </w:r>
      <w:r w:rsidRPr="0094251D">
        <w:rPr>
          <w:rFonts w:hint="eastAsia"/>
        </w:rPr>
        <w:t>重要的觀點與行動方案</w:t>
      </w:r>
      <w:r w:rsidR="003E5962" w:rsidRPr="0094251D">
        <w:t>？</w:t>
      </w:r>
      <w:r w:rsidR="004E6ABC" w:rsidRPr="0094251D">
        <w:t>（</w:t>
      </w:r>
      <w:r w:rsidRPr="0094251D">
        <w:t>10</w:t>
      </w:r>
      <w:r w:rsidRPr="0094251D">
        <w:rPr>
          <w:rFonts w:hint="eastAsia"/>
        </w:rPr>
        <w:t>分</w:t>
      </w:r>
      <w:r w:rsidR="004E6ABC" w:rsidRPr="0094251D">
        <w:t>）</w:t>
      </w:r>
      <w:r w:rsidRPr="0094251D">
        <w:rPr>
          <w:rFonts w:hint="eastAsia"/>
        </w:rPr>
        <w:t>請比較這份計</w:t>
      </w:r>
      <w:r w:rsidR="0094251D" w:rsidRPr="0094251D">
        <w:rPr>
          <w:rFonts w:hint="eastAsia"/>
          <w:lang w:eastAsia="zh-HK"/>
        </w:rPr>
        <w:t>畫</w:t>
      </w:r>
      <w:r w:rsidRPr="0094251D">
        <w:rPr>
          <w:rFonts w:hint="eastAsia"/>
        </w:rPr>
        <w:t>與《國家語言發展法》關注與提供的面向有</w:t>
      </w:r>
      <w:r w:rsidR="004E6ABC" w:rsidRPr="0094251D">
        <w:rPr>
          <w:rFonts w:hint="eastAsia"/>
        </w:rPr>
        <w:t>那</w:t>
      </w:r>
      <w:r w:rsidRPr="0094251D">
        <w:rPr>
          <w:rFonts w:hint="eastAsia"/>
        </w:rPr>
        <w:t>些相同相異之處</w:t>
      </w:r>
      <w:r w:rsidR="0094251D" w:rsidRPr="0094251D">
        <w:rPr>
          <w:rFonts w:hint="eastAsia"/>
        </w:rPr>
        <w:t>，</w:t>
      </w:r>
      <w:r w:rsidR="004E6ABC" w:rsidRPr="0094251D">
        <w:t>（</w:t>
      </w:r>
      <w:r w:rsidRPr="0094251D">
        <w:t>10</w:t>
      </w:r>
      <w:r w:rsidRPr="0094251D">
        <w:rPr>
          <w:rFonts w:hint="eastAsia"/>
        </w:rPr>
        <w:t>分</w:t>
      </w:r>
      <w:r w:rsidR="004E6ABC" w:rsidRPr="0094251D">
        <w:t>）</w:t>
      </w:r>
      <w:r w:rsidRPr="0094251D">
        <w:rPr>
          <w:rFonts w:hint="eastAsia"/>
        </w:rPr>
        <w:t>並提供我國有用建議與參考</w:t>
      </w:r>
      <w:r w:rsidR="0094251D" w:rsidRPr="0094251D">
        <w:t>。</w:t>
      </w:r>
      <w:r w:rsidR="004E6ABC" w:rsidRPr="0094251D">
        <w:t>（</w:t>
      </w:r>
      <w:r w:rsidRPr="0094251D">
        <w:t>5</w:t>
      </w:r>
      <w:r w:rsidRPr="0094251D">
        <w:rPr>
          <w:rFonts w:hint="eastAsia"/>
        </w:rPr>
        <w:t>分</w:t>
      </w:r>
      <w:r w:rsidR="004E6ABC" w:rsidRPr="0094251D">
        <w:t>）</w:t>
      </w:r>
    </w:p>
    <w:p w:rsidR="00CE31B2" w:rsidRPr="0094251D" w:rsidRDefault="00CE31B2" w:rsidP="0094251D">
      <w:pPr>
        <w:pStyle w:val="a"/>
        <w:spacing w:before="360"/>
        <w:ind w:left="640" w:hanging="640"/>
      </w:pPr>
      <w:r w:rsidRPr="0094251D">
        <w:rPr>
          <w:rFonts w:hint="eastAsia"/>
        </w:rPr>
        <w:t>我國文化資產空間逐漸增加，使地方政府在管理與營運上面臨沉重負荷；為因應此困境，有些地方政府開始採取委外經營模式。然而，文化資產治理不應僅重視行政效率與經營績效，也應保障公眾的詮釋權，建構平等對話的公共領域，傾聽多元聲音，並落實公民參與。請問文化資產的再利用如何實踐治理公共性</w:t>
      </w:r>
      <w:r w:rsidR="0094251D" w:rsidRPr="0094251D">
        <w:rPr>
          <w:rFonts w:hint="eastAsia"/>
        </w:rPr>
        <w:t>？</w:t>
      </w:r>
      <w:r w:rsidR="004E6ABC" w:rsidRPr="0094251D">
        <w:t>（</w:t>
      </w:r>
      <w:r w:rsidRPr="0094251D">
        <w:t>10</w:t>
      </w:r>
      <w:r w:rsidRPr="0094251D">
        <w:rPr>
          <w:rFonts w:hint="eastAsia"/>
        </w:rPr>
        <w:t>分</w:t>
      </w:r>
      <w:r w:rsidR="004E6ABC" w:rsidRPr="0094251D">
        <w:t>）</w:t>
      </w:r>
      <w:r w:rsidRPr="0094251D">
        <w:rPr>
          <w:rFonts w:hint="eastAsia"/>
        </w:rPr>
        <w:t>委外經營的管理模式是否限制公共參與的可能？應如何避免</w:t>
      </w:r>
      <w:r w:rsidR="004E6ABC" w:rsidRPr="0094251D">
        <w:t>？</w:t>
      </w:r>
      <w:r w:rsidRPr="0094251D">
        <w:rPr>
          <w:rFonts w:hint="eastAsia"/>
        </w:rPr>
        <w:t>請舉例說明之</w:t>
      </w:r>
      <w:r w:rsidR="0094251D" w:rsidRPr="0094251D">
        <w:rPr>
          <w:rFonts w:hint="eastAsia"/>
        </w:rPr>
        <w:t>。</w:t>
      </w:r>
      <w:r w:rsidR="004E6ABC" w:rsidRPr="0094251D">
        <w:t>（</w:t>
      </w:r>
      <w:r w:rsidRPr="0094251D">
        <w:t>15</w:t>
      </w:r>
      <w:r w:rsidRPr="0094251D">
        <w:rPr>
          <w:rFonts w:hint="eastAsia"/>
        </w:rPr>
        <w:t>分</w:t>
      </w:r>
      <w:r w:rsidR="004E6ABC" w:rsidRPr="0094251D">
        <w:t>）</w:t>
      </w:r>
    </w:p>
    <w:sectPr w:rsidR="00CE31B2" w:rsidRPr="0094251D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E05" w:rsidRDefault="000B0E05" w:rsidP="009F7437">
      <w:r>
        <w:separator/>
      </w:r>
    </w:p>
  </w:endnote>
  <w:endnote w:type="continuationSeparator" w:id="0">
    <w:p w:rsidR="000B0E05" w:rsidRDefault="000B0E05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BC" w:rsidRDefault="004E6A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BC" w:rsidRDefault="004E6AB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BC" w:rsidRDefault="004E6A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E05" w:rsidRDefault="000B0E05" w:rsidP="009F7437">
      <w:r>
        <w:separator/>
      </w:r>
    </w:p>
  </w:footnote>
  <w:footnote w:type="continuationSeparator" w:id="0">
    <w:p w:rsidR="000B0E05" w:rsidRDefault="000B0E05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4E6ABC" w:rsidTr="00411CB4">
      <w:trPr>
        <w:jc w:val="right"/>
      </w:trPr>
      <w:tc>
        <w:tcPr>
          <w:tcW w:w="611" w:type="dxa"/>
          <w:noWrap/>
        </w:tcPr>
        <w:p w:rsidR="00411CB4" w:rsidRPr="004E6AB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E6ABC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4E6ABC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4E6ABC" w:rsidTr="00411CB4">
      <w:trPr>
        <w:jc w:val="right"/>
      </w:trPr>
      <w:tc>
        <w:tcPr>
          <w:tcW w:w="611" w:type="dxa"/>
          <w:noWrap/>
        </w:tcPr>
        <w:p w:rsidR="00411CB4" w:rsidRPr="004E6AB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E6ABC">
            <w:rPr>
              <w:rFonts w:ascii="Times New Roman" w:eastAsia="標楷體" w:hAnsi="Times New Roman" w:cs="Times New Roman" w:hint="eastAsia"/>
            </w:rPr>
            <w:t>頁次</w:t>
          </w:r>
          <w:r w:rsidRPr="004E6ABC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4E6ABC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E6ABC">
            <w:rPr>
              <w:rFonts w:ascii="Times New Roman" w:hAnsi="Times New Roman" w:cs="Times New Roman"/>
            </w:rPr>
            <w:fldChar w:fldCharType="begin"/>
          </w:r>
          <w:r w:rsidRPr="004E6ABC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E6ABC">
            <w:rPr>
              <w:rFonts w:ascii="Times New Roman" w:hAnsi="Times New Roman" w:cs="Times New Roman"/>
            </w:rPr>
            <w:fldChar w:fldCharType="separate"/>
          </w:r>
          <w:r w:rsidR="0094251D">
            <w:rPr>
              <w:rFonts w:ascii="Times New Roman" w:hAnsi="Times New Roman" w:cs="Times New Roman"/>
              <w:noProof/>
            </w:rPr>
            <w:t>2</w:t>
          </w:r>
          <w:r w:rsidRPr="004E6ABC">
            <w:rPr>
              <w:rFonts w:ascii="Times New Roman" w:hAnsi="Times New Roman" w:cs="Times New Roman"/>
            </w:rPr>
            <w:fldChar w:fldCharType="end"/>
          </w:r>
          <w:r w:rsidRPr="004E6ABC">
            <w:rPr>
              <w:rFonts w:ascii="Times New Roman" w:hAnsi="Times New Roman" w:cs="Times New Roman" w:hint="eastAsia"/>
              <w:w w:val="66"/>
            </w:rPr>
            <w:t>－</w:t>
          </w:r>
          <w:r w:rsidRPr="004E6ABC">
            <w:rPr>
              <w:rFonts w:ascii="Times New Roman" w:hAnsi="Times New Roman" w:cs="Times New Roman"/>
            </w:rPr>
            <w:fldChar w:fldCharType="begin"/>
          </w:r>
          <w:r w:rsidRPr="004E6AB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E6ABC">
            <w:rPr>
              <w:rFonts w:ascii="Times New Roman" w:hAnsi="Times New Roman" w:cs="Times New Roman"/>
            </w:rPr>
            <w:fldChar w:fldCharType="separate"/>
          </w:r>
          <w:r w:rsidR="0094251D">
            <w:rPr>
              <w:rFonts w:ascii="Times New Roman" w:hAnsi="Times New Roman" w:cs="Times New Roman"/>
              <w:noProof/>
            </w:rPr>
            <w:t>2</w:t>
          </w:r>
          <w:r w:rsidRPr="004E6AB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4E6ABC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4E6ABC" w:rsidTr="00B05F2E">
      <w:tc>
        <w:tcPr>
          <w:tcW w:w="632" w:type="dxa"/>
          <w:noWrap/>
        </w:tcPr>
        <w:p w:rsidR="00411CB4" w:rsidRPr="004E6AB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E6ABC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E6ABC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4E6ABC" w:rsidTr="00B05F2E">
      <w:tc>
        <w:tcPr>
          <w:tcW w:w="632" w:type="dxa"/>
          <w:noWrap/>
        </w:tcPr>
        <w:p w:rsidR="00411CB4" w:rsidRPr="004E6AB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E6ABC">
            <w:rPr>
              <w:rFonts w:ascii="Times New Roman" w:eastAsia="標楷體" w:hAnsi="Times New Roman" w:cs="Times New Roman" w:hint="eastAsia"/>
            </w:rPr>
            <w:t>頁次</w:t>
          </w:r>
          <w:r w:rsidRPr="004E6ABC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E6ABC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E6ABC">
            <w:rPr>
              <w:rFonts w:ascii="Times New Roman" w:hAnsi="Times New Roman" w:cs="Times New Roman"/>
            </w:rPr>
            <w:fldChar w:fldCharType="begin"/>
          </w:r>
          <w:r w:rsidRPr="004E6ABC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E6ABC">
            <w:rPr>
              <w:rFonts w:ascii="Times New Roman" w:hAnsi="Times New Roman" w:cs="Times New Roman"/>
            </w:rPr>
            <w:fldChar w:fldCharType="separate"/>
          </w:r>
          <w:r w:rsidR="00CE31B2" w:rsidRPr="004E6ABC">
            <w:rPr>
              <w:rFonts w:ascii="Times New Roman" w:hAnsi="Times New Roman" w:cs="Times New Roman"/>
              <w:noProof/>
            </w:rPr>
            <w:t>3</w:t>
          </w:r>
          <w:r w:rsidRPr="004E6ABC">
            <w:rPr>
              <w:rFonts w:ascii="Times New Roman" w:hAnsi="Times New Roman" w:cs="Times New Roman"/>
            </w:rPr>
            <w:fldChar w:fldCharType="end"/>
          </w:r>
          <w:r w:rsidRPr="004E6ABC">
            <w:rPr>
              <w:rFonts w:ascii="Times New Roman" w:hAnsi="Times New Roman" w:cs="Times New Roman" w:hint="eastAsia"/>
              <w:w w:val="66"/>
            </w:rPr>
            <w:t>－</w:t>
          </w:r>
          <w:r w:rsidRPr="004E6ABC">
            <w:rPr>
              <w:rFonts w:ascii="Times New Roman" w:hAnsi="Times New Roman" w:cs="Times New Roman"/>
            </w:rPr>
            <w:fldChar w:fldCharType="begin"/>
          </w:r>
          <w:r w:rsidRPr="004E6AB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E6ABC">
            <w:rPr>
              <w:rFonts w:ascii="Times New Roman" w:hAnsi="Times New Roman" w:cs="Times New Roman"/>
            </w:rPr>
            <w:fldChar w:fldCharType="separate"/>
          </w:r>
          <w:r w:rsidR="00CE31B2" w:rsidRPr="004E6ABC">
            <w:rPr>
              <w:rFonts w:ascii="Times New Roman" w:hAnsi="Times New Roman" w:cs="Times New Roman"/>
              <w:noProof/>
            </w:rPr>
            <w:t>3</w:t>
          </w:r>
          <w:r w:rsidRPr="004E6AB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4E6ABC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4E6ABC" w:rsidTr="00583E0C">
      <w:tc>
        <w:tcPr>
          <w:tcW w:w="10536" w:type="dxa"/>
          <w:gridSpan w:val="4"/>
        </w:tcPr>
        <w:p w:rsidR="00562928" w:rsidRPr="004E6ABC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4E6ABC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4E6ABC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4E6ABC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4E6ABC" w:rsidTr="001F4A31">
      <w:trPr>
        <w:trHeight w:hRule="exact" w:val="340"/>
      </w:trPr>
      <w:tc>
        <w:tcPr>
          <w:tcW w:w="1120" w:type="dxa"/>
          <w:noWrap/>
        </w:tcPr>
        <w:p w:rsidR="00562928" w:rsidRPr="004E6ABC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4E6ABC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E6ABC" w:rsidRDefault="00CE31B2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文化行政</w:t>
          </w:r>
        </w:p>
      </w:tc>
    </w:tr>
    <w:tr w:rsidR="00562928" w:rsidRPr="004E6ABC" w:rsidTr="001F4A31">
      <w:trPr>
        <w:trHeight w:hRule="exact" w:val="340"/>
      </w:trPr>
      <w:tc>
        <w:tcPr>
          <w:tcW w:w="1120" w:type="dxa"/>
          <w:noWrap/>
        </w:tcPr>
        <w:p w:rsidR="00562928" w:rsidRPr="004E6ABC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4E6ABC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E6ABC" w:rsidRDefault="00CE31B2" w:rsidP="00CE31B2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文化行政與文化法規</w:t>
          </w:r>
        </w:p>
      </w:tc>
    </w:tr>
    <w:tr w:rsidR="00562928" w:rsidRPr="004E6ABC" w:rsidTr="00DC41C2">
      <w:trPr>
        <w:trHeight w:val="312"/>
      </w:trPr>
      <w:tc>
        <w:tcPr>
          <w:tcW w:w="1120" w:type="dxa"/>
          <w:noWrap/>
        </w:tcPr>
        <w:p w:rsidR="00562928" w:rsidRPr="004E6ABC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4E6ABC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4E6ABC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4E6ABC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4E6ABC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E6ABC">
            <w:rPr>
              <w:rFonts w:ascii="Times New Roman" w:eastAsia="標楷體" w:hAnsi="Times New Roman" w:cs="Times New Roman"/>
              <w:sz w:val="28"/>
            </w:rPr>
            <w:t>座號：</w:t>
          </w:r>
          <w:r w:rsidRPr="004E6ABC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4E6ABC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4E6ABC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4E6ABC" w:rsidTr="00583E0C">
      <w:tc>
        <w:tcPr>
          <w:tcW w:w="10536" w:type="dxa"/>
          <w:gridSpan w:val="4"/>
        </w:tcPr>
        <w:p w:rsidR="00562928" w:rsidRPr="004E6ABC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4E6ABC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4E6ABC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4E6ABC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4E6ABC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4E6ABC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4E6ABC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4E6ABC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4E6ABC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4E6AB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4E6AB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4E6AB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4E6AB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4E6AB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4E6ABC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4E6ABC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4E6ABC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4E6ABC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4E6ABC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4E6ABC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CE31B2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31220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4A1427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4A1427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CE31B2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31220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A1427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A1427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543A"/>
    <w:multiLevelType w:val="hybridMultilevel"/>
    <w:tmpl w:val="116CE2D6"/>
    <w:lvl w:ilvl="0" w:tplc="826AA77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2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52D64"/>
    <w:rsid w:val="000A13AA"/>
    <w:rsid w:val="000B0E05"/>
    <w:rsid w:val="00104948"/>
    <w:rsid w:val="00105859"/>
    <w:rsid w:val="00113157"/>
    <w:rsid w:val="0012496F"/>
    <w:rsid w:val="00141D1E"/>
    <w:rsid w:val="00150BF4"/>
    <w:rsid w:val="001B2A40"/>
    <w:rsid w:val="001E2A90"/>
    <w:rsid w:val="001F4A31"/>
    <w:rsid w:val="00203DC0"/>
    <w:rsid w:val="00232BFC"/>
    <w:rsid w:val="00256944"/>
    <w:rsid w:val="00261A08"/>
    <w:rsid w:val="002E3FAB"/>
    <w:rsid w:val="0038486F"/>
    <w:rsid w:val="003B147D"/>
    <w:rsid w:val="003B220E"/>
    <w:rsid w:val="003E5962"/>
    <w:rsid w:val="004000E7"/>
    <w:rsid w:val="00411CB4"/>
    <w:rsid w:val="00421D26"/>
    <w:rsid w:val="00467E52"/>
    <w:rsid w:val="00492984"/>
    <w:rsid w:val="00493D61"/>
    <w:rsid w:val="004A1427"/>
    <w:rsid w:val="004E2F8C"/>
    <w:rsid w:val="004E6ABC"/>
    <w:rsid w:val="00511372"/>
    <w:rsid w:val="00562928"/>
    <w:rsid w:val="00573C66"/>
    <w:rsid w:val="00581978"/>
    <w:rsid w:val="00583E0C"/>
    <w:rsid w:val="00585645"/>
    <w:rsid w:val="006D0A61"/>
    <w:rsid w:val="006F1F00"/>
    <w:rsid w:val="00780021"/>
    <w:rsid w:val="00795B11"/>
    <w:rsid w:val="007A60F9"/>
    <w:rsid w:val="007B339D"/>
    <w:rsid w:val="007D400E"/>
    <w:rsid w:val="00810A93"/>
    <w:rsid w:val="0081422D"/>
    <w:rsid w:val="00814D4A"/>
    <w:rsid w:val="008152C1"/>
    <w:rsid w:val="00886C77"/>
    <w:rsid w:val="008C0FB6"/>
    <w:rsid w:val="008F577A"/>
    <w:rsid w:val="00907343"/>
    <w:rsid w:val="009125D0"/>
    <w:rsid w:val="0094251D"/>
    <w:rsid w:val="0095046D"/>
    <w:rsid w:val="00950962"/>
    <w:rsid w:val="009B0771"/>
    <w:rsid w:val="009F7437"/>
    <w:rsid w:val="00A16E6B"/>
    <w:rsid w:val="00A46A48"/>
    <w:rsid w:val="00A72A8E"/>
    <w:rsid w:val="00AA2B83"/>
    <w:rsid w:val="00AB56C6"/>
    <w:rsid w:val="00B05F2E"/>
    <w:rsid w:val="00B768AB"/>
    <w:rsid w:val="00B913B8"/>
    <w:rsid w:val="00BF35E3"/>
    <w:rsid w:val="00C16830"/>
    <w:rsid w:val="00C21DAE"/>
    <w:rsid w:val="00C306F6"/>
    <w:rsid w:val="00C54598"/>
    <w:rsid w:val="00C72A78"/>
    <w:rsid w:val="00CE31B2"/>
    <w:rsid w:val="00D50114"/>
    <w:rsid w:val="00D67BDF"/>
    <w:rsid w:val="00D83088"/>
    <w:rsid w:val="00D9036A"/>
    <w:rsid w:val="00DC41C2"/>
    <w:rsid w:val="00DD2653"/>
    <w:rsid w:val="00E507B5"/>
    <w:rsid w:val="00ED3100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qFormat/>
    <w:rsid w:val="000A13AA"/>
    <w:pPr>
      <w:ind w:leftChars="200" w:left="480"/>
    </w:pPr>
  </w:style>
  <w:style w:type="character" w:styleId="ae">
    <w:name w:val="Strong"/>
    <w:basedOn w:val="a1"/>
    <w:uiPriority w:val="22"/>
    <w:qFormat/>
    <w:rsid w:val="00CE31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363</Characters>
  <Application>Microsoft Office Word</Application>
  <DocSecurity>0</DocSecurity>
  <Lines>181</Lines>
  <Paragraphs>65</Paragraphs>
  <ScaleCrop>false</ScaleCrop>
  <Company>moex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12</cp:revision>
  <cp:lastPrinted>2020-06-12T14:00:00Z</cp:lastPrinted>
  <dcterms:created xsi:type="dcterms:W3CDTF">2026-06-24T01:59:00Z</dcterms:created>
  <dcterms:modified xsi:type="dcterms:W3CDTF">2026-06-29T00:06:00Z</dcterms:modified>
  <cp:category>3</cp:category>
</cp:coreProperties>
</file>